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75FCC" w14:textId="49BBC5F6" w:rsidR="002457FD" w:rsidRDefault="002457FD" w:rsidP="001A25FB">
      <w:pPr>
        <w:ind w:left="720" w:hanging="360"/>
        <w:jc w:val="center"/>
        <w:rPr>
          <w:sz w:val="28"/>
          <w:szCs w:val="28"/>
          <w:u w:val="single"/>
        </w:rPr>
      </w:pPr>
      <w:r>
        <w:rPr>
          <w:sz w:val="28"/>
          <w:szCs w:val="28"/>
          <w:u w:val="single"/>
        </w:rPr>
        <w:t>UK ASSOCIATION OF FEE PAID JUDGES</w:t>
      </w:r>
    </w:p>
    <w:p w14:paraId="3010E4D1" w14:textId="77777777" w:rsidR="002457FD" w:rsidRDefault="002457FD" w:rsidP="001A25FB">
      <w:pPr>
        <w:ind w:left="720" w:hanging="360"/>
        <w:jc w:val="center"/>
        <w:rPr>
          <w:sz w:val="28"/>
          <w:szCs w:val="28"/>
          <w:u w:val="single"/>
        </w:rPr>
      </w:pPr>
    </w:p>
    <w:p w14:paraId="5F432F13" w14:textId="79D30918" w:rsidR="001A25FB" w:rsidRPr="001A25FB" w:rsidRDefault="001A25FB" w:rsidP="001A25FB">
      <w:pPr>
        <w:ind w:left="720" w:hanging="360"/>
        <w:jc w:val="center"/>
        <w:rPr>
          <w:sz w:val="28"/>
          <w:szCs w:val="28"/>
          <w:u w:val="single"/>
        </w:rPr>
      </w:pPr>
      <w:r w:rsidRPr="001A25FB">
        <w:rPr>
          <w:sz w:val="28"/>
          <w:szCs w:val="28"/>
          <w:u w:val="single"/>
        </w:rPr>
        <w:t>RESPONSE TO MANDATORY RETIREMENT AGE CONSU</w:t>
      </w:r>
      <w:r w:rsidR="00A5754D">
        <w:rPr>
          <w:sz w:val="28"/>
          <w:szCs w:val="28"/>
          <w:u w:val="single"/>
        </w:rPr>
        <w:t>LT</w:t>
      </w:r>
      <w:r w:rsidRPr="001A25FB">
        <w:rPr>
          <w:sz w:val="28"/>
          <w:szCs w:val="28"/>
          <w:u w:val="single"/>
        </w:rPr>
        <w:t>ATION PAPER</w:t>
      </w:r>
    </w:p>
    <w:p w14:paraId="3A34C1C6" w14:textId="77777777" w:rsidR="001A25FB" w:rsidRDefault="001A25FB" w:rsidP="001A25FB">
      <w:pPr>
        <w:pStyle w:val="ListParagraph"/>
        <w:jc w:val="both"/>
        <w:rPr>
          <w:sz w:val="28"/>
          <w:szCs w:val="28"/>
        </w:rPr>
      </w:pPr>
    </w:p>
    <w:p w14:paraId="3E417368" w14:textId="2F71C239" w:rsidR="00455A52" w:rsidRDefault="001A25FB" w:rsidP="00895E7F">
      <w:pPr>
        <w:pStyle w:val="ListParagraph"/>
        <w:numPr>
          <w:ilvl w:val="0"/>
          <w:numId w:val="1"/>
        </w:numPr>
        <w:jc w:val="both"/>
        <w:rPr>
          <w:sz w:val="28"/>
          <w:szCs w:val="28"/>
        </w:rPr>
      </w:pPr>
      <w:r>
        <w:rPr>
          <w:sz w:val="28"/>
          <w:szCs w:val="28"/>
        </w:rPr>
        <w:t>We</w:t>
      </w:r>
      <w:r w:rsidR="00455A52" w:rsidRPr="00895E7F">
        <w:rPr>
          <w:sz w:val="28"/>
          <w:szCs w:val="28"/>
        </w:rPr>
        <w:t xml:space="preserve"> a</w:t>
      </w:r>
      <w:r>
        <w:rPr>
          <w:sz w:val="28"/>
          <w:szCs w:val="28"/>
        </w:rPr>
        <w:t>re</w:t>
      </w:r>
      <w:r w:rsidR="00455A52" w:rsidRPr="00895E7F">
        <w:rPr>
          <w:sz w:val="28"/>
          <w:szCs w:val="28"/>
        </w:rPr>
        <w:t xml:space="preserve"> writing with the response of the UK Association of Fee-Paid Judges  to the mandatory retirement age consultation paper.  </w:t>
      </w:r>
    </w:p>
    <w:p w14:paraId="365C28D8" w14:textId="77777777" w:rsidR="00895E7F" w:rsidRPr="00895E7F" w:rsidRDefault="00895E7F" w:rsidP="00895E7F">
      <w:pPr>
        <w:pStyle w:val="ListParagraph"/>
        <w:jc w:val="both"/>
        <w:rPr>
          <w:sz w:val="28"/>
          <w:szCs w:val="28"/>
        </w:rPr>
      </w:pPr>
    </w:p>
    <w:p w14:paraId="784BF068" w14:textId="403E533A" w:rsidR="00895E7F" w:rsidRDefault="00455A52" w:rsidP="00895E7F">
      <w:pPr>
        <w:pStyle w:val="ListParagraph"/>
        <w:numPr>
          <w:ilvl w:val="0"/>
          <w:numId w:val="1"/>
        </w:numPr>
        <w:jc w:val="both"/>
        <w:rPr>
          <w:sz w:val="28"/>
          <w:szCs w:val="28"/>
        </w:rPr>
      </w:pPr>
      <w:r w:rsidRPr="00895E7F">
        <w:rPr>
          <w:sz w:val="28"/>
          <w:szCs w:val="28"/>
        </w:rPr>
        <w:t>No</w:t>
      </w:r>
      <w:r w:rsidR="000F16B0">
        <w:rPr>
          <w:sz w:val="28"/>
          <w:szCs w:val="28"/>
        </w:rPr>
        <w:t>t</w:t>
      </w:r>
      <w:r w:rsidRPr="00895E7F">
        <w:rPr>
          <w:sz w:val="28"/>
          <w:szCs w:val="28"/>
        </w:rPr>
        <w:t>withstanding the title of the Association, it is appropriate to note that our members are based almost entirely in England and Wales</w:t>
      </w:r>
      <w:r w:rsidR="009F657D" w:rsidRPr="00895E7F">
        <w:rPr>
          <w:sz w:val="28"/>
          <w:szCs w:val="28"/>
        </w:rPr>
        <w:t xml:space="preserve">. Also that we do </w:t>
      </w:r>
      <w:r w:rsidR="00895E7F">
        <w:rPr>
          <w:sz w:val="28"/>
          <w:szCs w:val="28"/>
        </w:rPr>
        <w:t>n</w:t>
      </w:r>
      <w:r w:rsidR="009F657D" w:rsidRPr="00895E7F">
        <w:rPr>
          <w:sz w:val="28"/>
          <w:szCs w:val="28"/>
        </w:rPr>
        <w:t>ot represent those who</w:t>
      </w:r>
      <w:r w:rsidR="008C6695" w:rsidRPr="00895E7F">
        <w:rPr>
          <w:sz w:val="28"/>
          <w:szCs w:val="28"/>
        </w:rPr>
        <w:t xml:space="preserve"> are purely tribunal judges</w:t>
      </w:r>
      <w:r w:rsidR="008B6E6B">
        <w:rPr>
          <w:sz w:val="28"/>
          <w:szCs w:val="28"/>
        </w:rPr>
        <w:t xml:space="preserve"> or magistrates</w:t>
      </w:r>
      <w:r w:rsidR="008C6695" w:rsidRPr="00895E7F">
        <w:rPr>
          <w:sz w:val="28"/>
          <w:szCs w:val="28"/>
        </w:rPr>
        <w:t xml:space="preserve">, who have their own associations. </w:t>
      </w:r>
    </w:p>
    <w:p w14:paraId="1452BB59" w14:textId="77777777" w:rsidR="00895E7F" w:rsidRPr="00895E7F" w:rsidRDefault="00895E7F" w:rsidP="00895E7F">
      <w:pPr>
        <w:pStyle w:val="ListParagraph"/>
        <w:rPr>
          <w:sz w:val="28"/>
          <w:szCs w:val="28"/>
        </w:rPr>
      </w:pPr>
    </w:p>
    <w:p w14:paraId="7EA58C07" w14:textId="77777777" w:rsidR="00895E7F" w:rsidRDefault="00455A52" w:rsidP="00895E7F">
      <w:pPr>
        <w:pStyle w:val="ListParagraph"/>
        <w:numPr>
          <w:ilvl w:val="0"/>
          <w:numId w:val="1"/>
        </w:numPr>
        <w:jc w:val="both"/>
        <w:rPr>
          <w:sz w:val="28"/>
          <w:szCs w:val="28"/>
        </w:rPr>
      </w:pPr>
      <w:r w:rsidRPr="00895E7F">
        <w:rPr>
          <w:sz w:val="28"/>
          <w:szCs w:val="28"/>
        </w:rPr>
        <w:t>The case for increasing the mandatory retirement age (‘MRA’) seems</w:t>
      </w:r>
      <w:r w:rsidR="009F657D" w:rsidRPr="00895E7F">
        <w:rPr>
          <w:sz w:val="28"/>
          <w:szCs w:val="28"/>
        </w:rPr>
        <w:t xml:space="preserve"> </w:t>
      </w:r>
      <w:r w:rsidRPr="00895E7F">
        <w:rPr>
          <w:sz w:val="28"/>
          <w:szCs w:val="28"/>
        </w:rPr>
        <w:t xml:space="preserve"> compelling. </w:t>
      </w:r>
    </w:p>
    <w:p w14:paraId="2FF9E1EE" w14:textId="77777777" w:rsidR="00895E7F" w:rsidRPr="00895E7F" w:rsidRDefault="00895E7F" w:rsidP="00895E7F">
      <w:pPr>
        <w:pStyle w:val="ListParagraph"/>
        <w:rPr>
          <w:sz w:val="28"/>
          <w:szCs w:val="28"/>
        </w:rPr>
      </w:pPr>
    </w:p>
    <w:p w14:paraId="7A951029" w14:textId="45D2F3A0" w:rsidR="00895E7F" w:rsidRDefault="00076E10" w:rsidP="00895E7F">
      <w:pPr>
        <w:pStyle w:val="ListParagraph"/>
        <w:numPr>
          <w:ilvl w:val="0"/>
          <w:numId w:val="1"/>
        </w:numPr>
        <w:jc w:val="both"/>
        <w:rPr>
          <w:sz w:val="28"/>
          <w:szCs w:val="28"/>
        </w:rPr>
      </w:pPr>
      <w:r w:rsidRPr="00895E7F">
        <w:rPr>
          <w:sz w:val="28"/>
          <w:szCs w:val="28"/>
        </w:rPr>
        <w:t>In particular, people are in general now living for longer, and indeed remaining active and working for longer</w:t>
      </w:r>
      <w:r w:rsidR="002457FD">
        <w:rPr>
          <w:sz w:val="28"/>
          <w:szCs w:val="28"/>
        </w:rPr>
        <w:t>. The</w:t>
      </w:r>
      <w:r w:rsidRPr="00895E7F">
        <w:rPr>
          <w:sz w:val="28"/>
          <w:szCs w:val="28"/>
        </w:rPr>
        <w:t xml:space="preserve"> contribution that people can make at an age to which people did not previously </w:t>
      </w:r>
      <w:r w:rsidR="009F657D" w:rsidRPr="00895E7F">
        <w:rPr>
          <w:sz w:val="28"/>
          <w:szCs w:val="28"/>
        </w:rPr>
        <w:t xml:space="preserve">generally </w:t>
      </w:r>
      <w:r w:rsidRPr="00895E7F">
        <w:rPr>
          <w:sz w:val="28"/>
          <w:szCs w:val="28"/>
        </w:rPr>
        <w:t xml:space="preserve">work has been recognised in society as a whole. </w:t>
      </w:r>
      <w:r w:rsidR="009F657D" w:rsidRPr="00895E7F">
        <w:rPr>
          <w:sz w:val="28"/>
          <w:szCs w:val="28"/>
        </w:rPr>
        <w:t>A</w:t>
      </w:r>
      <w:r w:rsidRPr="00895E7F">
        <w:rPr>
          <w:sz w:val="28"/>
          <w:szCs w:val="28"/>
        </w:rPr>
        <w:t xml:space="preserve"> cut-off point of 70 years of age deprives the judiciary not only of resources in the form of judges beyond this age who are capable of carrying on and wish to do so, but also of those most experienced in life, as well</w:t>
      </w:r>
      <w:r w:rsidR="002457FD">
        <w:rPr>
          <w:sz w:val="28"/>
          <w:szCs w:val="28"/>
        </w:rPr>
        <w:t xml:space="preserve"> as</w:t>
      </w:r>
      <w:r w:rsidRPr="00895E7F">
        <w:rPr>
          <w:sz w:val="28"/>
          <w:szCs w:val="28"/>
        </w:rPr>
        <w:t xml:space="preserve">, in many cases, on the Bench. </w:t>
      </w:r>
    </w:p>
    <w:p w14:paraId="4399E9DC" w14:textId="77777777" w:rsidR="00895E7F" w:rsidRPr="00895E7F" w:rsidRDefault="00895E7F" w:rsidP="00895E7F">
      <w:pPr>
        <w:pStyle w:val="ListParagraph"/>
        <w:rPr>
          <w:sz w:val="28"/>
          <w:szCs w:val="28"/>
        </w:rPr>
      </w:pPr>
    </w:p>
    <w:p w14:paraId="3613543F" w14:textId="77777777" w:rsidR="002457FD" w:rsidRDefault="008C6695" w:rsidP="002457FD">
      <w:pPr>
        <w:pStyle w:val="ListParagraph"/>
        <w:numPr>
          <w:ilvl w:val="0"/>
          <w:numId w:val="1"/>
        </w:numPr>
        <w:jc w:val="both"/>
        <w:rPr>
          <w:sz w:val="28"/>
          <w:szCs w:val="28"/>
        </w:rPr>
      </w:pPr>
      <w:r w:rsidRPr="00895E7F">
        <w:rPr>
          <w:sz w:val="28"/>
          <w:szCs w:val="28"/>
        </w:rPr>
        <w:t>Given that th</w:t>
      </w:r>
      <w:r w:rsidR="009F657D" w:rsidRPr="00895E7F">
        <w:rPr>
          <w:sz w:val="28"/>
          <w:szCs w:val="28"/>
        </w:rPr>
        <w:t xml:space="preserve">ose in </w:t>
      </w:r>
      <w:r w:rsidRPr="00895E7F">
        <w:rPr>
          <w:sz w:val="28"/>
          <w:szCs w:val="28"/>
        </w:rPr>
        <w:t xml:space="preserve">the higher levels of both branches of the </w:t>
      </w:r>
      <w:r w:rsidR="009F657D" w:rsidRPr="00895E7F">
        <w:rPr>
          <w:sz w:val="28"/>
          <w:szCs w:val="28"/>
        </w:rPr>
        <w:t xml:space="preserve">legal </w:t>
      </w:r>
      <w:r w:rsidRPr="00895E7F">
        <w:rPr>
          <w:sz w:val="28"/>
          <w:szCs w:val="28"/>
        </w:rPr>
        <w:t xml:space="preserve">profession have been, and are, becoming ever more balanced in </w:t>
      </w:r>
      <w:r w:rsidR="009F657D" w:rsidRPr="00895E7F">
        <w:rPr>
          <w:sz w:val="28"/>
          <w:szCs w:val="28"/>
        </w:rPr>
        <w:t xml:space="preserve">numbers in </w:t>
      </w:r>
      <w:r w:rsidRPr="00895E7F">
        <w:rPr>
          <w:sz w:val="28"/>
          <w:szCs w:val="28"/>
        </w:rPr>
        <w:t xml:space="preserve">terms of sex, ethnicity, and backgrounds, </w:t>
      </w:r>
      <w:r w:rsidR="009F657D" w:rsidRPr="00895E7F">
        <w:rPr>
          <w:sz w:val="28"/>
          <w:szCs w:val="28"/>
        </w:rPr>
        <w:t xml:space="preserve">as in turn are the more recently appointed judiciary, </w:t>
      </w:r>
      <w:r w:rsidRPr="00895E7F">
        <w:rPr>
          <w:sz w:val="28"/>
          <w:szCs w:val="28"/>
        </w:rPr>
        <w:t xml:space="preserve">the retention of older judges </w:t>
      </w:r>
      <w:r w:rsidR="009F657D" w:rsidRPr="00895E7F">
        <w:rPr>
          <w:sz w:val="28"/>
          <w:szCs w:val="28"/>
        </w:rPr>
        <w:t>with</w:t>
      </w:r>
      <w:r w:rsidRPr="00895E7F">
        <w:rPr>
          <w:sz w:val="28"/>
          <w:szCs w:val="28"/>
        </w:rPr>
        <w:t xml:space="preserve"> </w:t>
      </w:r>
      <w:r w:rsidR="002457FD">
        <w:rPr>
          <w:sz w:val="28"/>
          <w:szCs w:val="28"/>
        </w:rPr>
        <w:t xml:space="preserve">a </w:t>
      </w:r>
      <w:r w:rsidRPr="00895E7F">
        <w:rPr>
          <w:sz w:val="28"/>
          <w:szCs w:val="28"/>
        </w:rPr>
        <w:t xml:space="preserve">concomitant </w:t>
      </w:r>
      <w:r w:rsidR="009F657D" w:rsidRPr="00895E7F">
        <w:rPr>
          <w:sz w:val="28"/>
          <w:szCs w:val="28"/>
        </w:rPr>
        <w:t>need to</w:t>
      </w:r>
      <w:r w:rsidRPr="00895E7F">
        <w:rPr>
          <w:sz w:val="28"/>
          <w:szCs w:val="28"/>
        </w:rPr>
        <w:t xml:space="preserve"> recruit </w:t>
      </w:r>
      <w:r w:rsidR="009F657D" w:rsidRPr="00895E7F">
        <w:rPr>
          <w:sz w:val="28"/>
          <w:szCs w:val="28"/>
        </w:rPr>
        <w:t xml:space="preserve">fewer </w:t>
      </w:r>
      <w:r w:rsidRPr="00895E7F">
        <w:rPr>
          <w:sz w:val="28"/>
          <w:szCs w:val="28"/>
        </w:rPr>
        <w:t xml:space="preserve">new judges may </w:t>
      </w:r>
      <w:r w:rsidR="009F657D" w:rsidRPr="00895E7F">
        <w:rPr>
          <w:sz w:val="28"/>
          <w:szCs w:val="28"/>
        </w:rPr>
        <w:t>be thought likely to cause a slight delay in the</w:t>
      </w:r>
      <w:r w:rsidRPr="00895E7F">
        <w:rPr>
          <w:sz w:val="28"/>
          <w:szCs w:val="28"/>
        </w:rPr>
        <w:t xml:space="preserve"> diversification </w:t>
      </w:r>
      <w:r w:rsidR="009F657D" w:rsidRPr="00895E7F">
        <w:rPr>
          <w:sz w:val="28"/>
          <w:szCs w:val="28"/>
        </w:rPr>
        <w:t>of the Bench.</w:t>
      </w:r>
      <w:r w:rsidR="002457FD">
        <w:rPr>
          <w:sz w:val="28"/>
          <w:szCs w:val="28"/>
        </w:rPr>
        <w:t xml:space="preserve"> </w:t>
      </w:r>
    </w:p>
    <w:p w14:paraId="1E93D16D" w14:textId="77777777" w:rsidR="002457FD" w:rsidRPr="002457FD" w:rsidRDefault="002457FD" w:rsidP="002457FD">
      <w:pPr>
        <w:pStyle w:val="ListParagraph"/>
        <w:rPr>
          <w:sz w:val="28"/>
          <w:szCs w:val="28"/>
        </w:rPr>
      </w:pPr>
    </w:p>
    <w:p w14:paraId="219B4BD1" w14:textId="2D0864E4" w:rsidR="002457FD" w:rsidRPr="002457FD" w:rsidRDefault="00440B9D" w:rsidP="002457FD">
      <w:pPr>
        <w:pStyle w:val="ListParagraph"/>
        <w:numPr>
          <w:ilvl w:val="0"/>
          <w:numId w:val="1"/>
        </w:numPr>
        <w:jc w:val="both"/>
        <w:rPr>
          <w:sz w:val="28"/>
          <w:szCs w:val="28"/>
        </w:rPr>
      </w:pPr>
      <w:r w:rsidRPr="002457FD">
        <w:rPr>
          <w:sz w:val="28"/>
          <w:szCs w:val="28"/>
        </w:rPr>
        <w:t xml:space="preserve">This is a legitimate point to consider. </w:t>
      </w:r>
    </w:p>
    <w:p w14:paraId="5DB84E97" w14:textId="77777777" w:rsidR="002457FD" w:rsidRPr="002457FD" w:rsidRDefault="002457FD" w:rsidP="002457FD">
      <w:pPr>
        <w:pStyle w:val="ListParagraph"/>
        <w:rPr>
          <w:sz w:val="28"/>
          <w:szCs w:val="28"/>
        </w:rPr>
      </w:pPr>
    </w:p>
    <w:p w14:paraId="7CC7D339" w14:textId="4C3CC257" w:rsidR="00895E7F" w:rsidRDefault="00440B9D" w:rsidP="00895E7F">
      <w:pPr>
        <w:pStyle w:val="ListParagraph"/>
        <w:numPr>
          <w:ilvl w:val="0"/>
          <w:numId w:val="1"/>
        </w:numPr>
        <w:jc w:val="both"/>
        <w:rPr>
          <w:sz w:val="28"/>
          <w:szCs w:val="28"/>
        </w:rPr>
      </w:pPr>
      <w:r w:rsidRPr="00895E7F">
        <w:rPr>
          <w:sz w:val="28"/>
          <w:szCs w:val="28"/>
        </w:rPr>
        <w:t>However,</w:t>
      </w:r>
      <w:r w:rsidR="008C6695" w:rsidRPr="00895E7F">
        <w:rPr>
          <w:sz w:val="28"/>
          <w:szCs w:val="28"/>
        </w:rPr>
        <w:t xml:space="preserve"> </w:t>
      </w:r>
      <w:r w:rsidR="002457FD">
        <w:rPr>
          <w:sz w:val="28"/>
          <w:szCs w:val="28"/>
        </w:rPr>
        <w:t xml:space="preserve">first, </w:t>
      </w:r>
      <w:r w:rsidR="008C6695" w:rsidRPr="00895E7F">
        <w:rPr>
          <w:sz w:val="28"/>
          <w:szCs w:val="28"/>
        </w:rPr>
        <w:t>there remains a lack of sufficient applicants to fill places</w:t>
      </w:r>
      <w:r w:rsidR="009F657D" w:rsidRPr="00895E7F">
        <w:rPr>
          <w:sz w:val="28"/>
          <w:szCs w:val="28"/>
        </w:rPr>
        <w:t xml:space="preserve"> required to meet work demands</w:t>
      </w:r>
      <w:r w:rsidR="008C6695" w:rsidRPr="00895E7F">
        <w:rPr>
          <w:sz w:val="28"/>
          <w:szCs w:val="28"/>
        </w:rPr>
        <w:t xml:space="preserve"> at </w:t>
      </w:r>
      <w:r w:rsidR="009F657D" w:rsidRPr="00895E7F">
        <w:rPr>
          <w:sz w:val="28"/>
          <w:szCs w:val="28"/>
        </w:rPr>
        <w:t>High Court, Circuit, and District Bench level</w:t>
      </w:r>
      <w:r w:rsidR="00AF341B">
        <w:rPr>
          <w:sz w:val="28"/>
          <w:szCs w:val="28"/>
        </w:rPr>
        <w:t>s</w:t>
      </w:r>
      <w:r w:rsidR="009F657D" w:rsidRPr="00895E7F">
        <w:rPr>
          <w:sz w:val="28"/>
          <w:szCs w:val="28"/>
        </w:rPr>
        <w:t xml:space="preserve">, the filling of which by the extension of the MRA will not impact on the ability to recruit from the </w:t>
      </w:r>
      <w:r w:rsidRPr="00895E7F">
        <w:rPr>
          <w:sz w:val="28"/>
          <w:szCs w:val="28"/>
        </w:rPr>
        <w:t>mo</w:t>
      </w:r>
      <w:r w:rsidR="009F657D" w:rsidRPr="00895E7F">
        <w:rPr>
          <w:sz w:val="28"/>
          <w:szCs w:val="28"/>
        </w:rPr>
        <w:t xml:space="preserve">re diverse pool. </w:t>
      </w:r>
    </w:p>
    <w:p w14:paraId="18FF3283" w14:textId="77777777" w:rsidR="00895E7F" w:rsidRPr="00895E7F" w:rsidRDefault="00895E7F" w:rsidP="00895E7F">
      <w:pPr>
        <w:pStyle w:val="ListParagraph"/>
        <w:rPr>
          <w:sz w:val="28"/>
          <w:szCs w:val="28"/>
        </w:rPr>
      </w:pPr>
    </w:p>
    <w:p w14:paraId="7DCA50E9" w14:textId="3BB129D3" w:rsidR="002457FD" w:rsidRDefault="002457FD" w:rsidP="002457FD">
      <w:pPr>
        <w:pStyle w:val="ListParagraph"/>
        <w:numPr>
          <w:ilvl w:val="0"/>
          <w:numId w:val="1"/>
        </w:numPr>
        <w:jc w:val="both"/>
        <w:rPr>
          <w:sz w:val="28"/>
          <w:szCs w:val="28"/>
        </w:rPr>
      </w:pPr>
      <w:r>
        <w:rPr>
          <w:sz w:val="28"/>
          <w:szCs w:val="28"/>
        </w:rPr>
        <w:t>Second, g</w:t>
      </w:r>
      <w:r w:rsidR="009F657D" w:rsidRPr="00895E7F">
        <w:rPr>
          <w:sz w:val="28"/>
          <w:szCs w:val="28"/>
        </w:rPr>
        <w:t xml:space="preserve">oing beyond this, any </w:t>
      </w:r>
      <w:r w:rsidR="00895E7F">
        <w:rPr>
          <w:sz w:val="28"/>
          <w:szCs w:val="28"/>
        </w:rPr>
        <w:t xml:space="preserve">relatively small effect on </w:t>
      </w:r>
      <w:r w:rsidR="009F657D" w:rsidRPr="00895E7F">
        <w:rPr>
          <w:sz w:val="28"/>
          <w:szCs w:val="28"/>
        </w:rPr>
        <w:t xml:space="preserve">diversity </w:t>
      </w:r>
      <w:r w:rsidR="00895E7F">
        <w:rPr>
          <w:sz w:val="28"/>
          <w:szCs w:val="28"/>
        </w:rPr>
        <w:t>would be likely</w:t>
      </w:r>
      <w:r w:rsidR="00440B9D" w:rsidRPr="00895E7F">
        <w:rPr>
          <w:sz w:val="28"/>
          <w:szCs w:val="28"/>
        </w:rPr>
        <w:t xml:space="preserve"> to</w:t>
      </w:r>
      <w:r w:rsidR="009F657D" w:rsidRPr="00895E7F">
        <w:rPr>
          <w:sz w:val="28"/>
          <w:szCs w:val="28"/>
        </w:rPr>
        <w:t xml:space="preserve"> be outweighed by the </w:t>
      </w:r>
      <w:r w:rsidR="00440B9D" w:rsidRPr="00895E7F">
        <w:rPr>
          <w:sz w:val="28"/>
          <w:szCs w:val="28"/>
        </w:rPr>
        <w:t>fact there will not be age discrimination by reason of what is now a relatively low MRA</w:t>
      </w:r>
      <w:r>
        <w:rPr>
          <w:sz w:val="28"/>
          <w:szCs w:val="28"/>
        </w:rPr>
        <w:t>,</w:t>
      </w:r>
      <w:r w:rsidR="00440B9D" w:rsidRPr="00895E7F">
        <w:rPr>
          <w:sz w:val="28"/>
          <w:szCs w:val="28"/>
        </w:rPr>
        <w:t xml:space="preserve"> depriving </w:t>
      </w:r>
      <w:r>
        <w:rPr>
          <w:sz w:val="28"/>
          <w:szCs w:val="28"/>
        </w:rPr>
        <w:t>older judges</w:t>
      </w:r>
      <w:r w:rsidR="00440B9D" w:rsidRPr="00895E7F">
        <w:rPr>
          <w:sz w:val="28"/>
          <w:szCs w:val="28"/>
        </w:rPr>
        <w:t xml:space="preserve"> and society of the opportunity to continue to use the skills and experience they have built up. </w:t>
      </w:r>
    </w:p>
    <w:p w14:paraId="558EE87D" w14:textId="77777777" w:rsidR="002457FD" w:rsidRPr="002457FD" w:rsidRDefault="002457FD" w:rsidP="002457FD">
      <w:pPr>
        <w:pStyle w:val="ListParagraph"/>
        <w:rPr>
          <w:sz w:val="28"/>
          <w:szCs w:val="28"/>
        </w:rPr>
      </w:pPr>
    </w:p>
    <w:p w14:paraId="79E7324D" w14:textId="17D7505B" w:rsidR="008F0FED" w:rsidRPr="002457FD" w:rsidRDefault="00440B9D" w:rsidP="002457FD">
      <w:pPr>
        <w:pStyle w:val="ListParagraph"/>
        <w:numPr>
          <w:ilvl w:val="0"/>
          <w:numId w:val="1"/>
        </w:numPr>
        <w:jc w:val="both"/>
        <w:rPr>
          <w:sz w:val="28"/>
          <w:szCs w:val="28"/>
        </w:rPr>
      </w:pPr>
      <w:r w:rsidRPr="002457FD">
        <w:rPr>
          <w:sz w:val="28"/>
          <w:szCs w:val="28"/>
        </w:rPr>
        <w:t>Furthermore</w:t>
      </w:r>
      <w:r w:rsidR="002457FD">
        <w:rPr>
          <w:sz w:val="28"/>
          <w:szCs w:val="28"/>
        </w:rPr>
        <w:t>, t</w:t>
      </w:r>
      <w:r w:rsidRPr="002457FD">
        <w:rPr>
          <w:sz w:val="28"/>
          <w:szCs w:val="28"/>
        </w:rPr>
        <w:t xml:space="preserve">hough not mentioned in the consultation paper, there </w:t>
      </w:r>
      <w:r w:rsidR="00895E7F" w:rsidRPr="002457FD">
        <w:rPr>
          <w:sz w:val="28"/>
          <w:szCs w:val="28"/>
        </w:rPr>
        <w:t>would seem to</w:t>
      </w:r>
      <w:r w:rsidRPr="002457FD">
        <w:rPr>
          <w:sz w:val="28"/>
          <w:szCs w:val="28"/>
        </w:rPr>
        <w:t xml:space="preserve"> be more opportunity for women who have deferred their careers for childcare or other reasons (</w:t>
      </w:r>
      <w:r w:rsidR="002457FD">
        <w:rPr>
          <w:sz w:val="28"/>
          <w:szCs w:val="28"/>
        </w:rPr>
        <w:t>as</w:t>
      </w:r>
      <w:r w:rsidRPr="002457FD">
        <w:rPr>
          <w:sz w:val="28"/>
          <w:szCs w:val="28"/>
        </w:rPr>
        <w:t xml:space="preserve"> happened more in the past than will be the case with more recent entrants to the legal profession) to join the bench </w:t>
      </w:r>
      <w:r w:rsidR="00895E7F" w:rsidRPr="002457FD">
        <w:rPr>
          <w:sz w:val="28"/>
          <w:szCs w:val="28"/>
        </w:rPr>
        <w:t xml:space="preserve">if the MRA is raised. This is </w:t>
      </w:r>
      <w:r w:rsidRPr="002457FD">
        <w:rPr>
          <w:sz w:val="28"/>
          <w:szCs w:val="28"/>
        </w:rPr>
        <w:t xml:space="preserve">because they will be able to </w:t>
      </w:r>
      <w:r w:rsidR="00895E7F" w:rsidRPr="002457FD">
        <w:rPr>
          <w:sz w:val="28"/>
          <w:szCs w:val="28"/>
        </w:rPr>
        <w:t>join</w:t>
      </w:r>
      <w:r w:rsidRPr="002457FD">
        <w:rPr>
          <w:sz w:val="28"/>
          <w:szCs w:val="28"/>
        </w:rPr>
        <w:t xml:space="preserve"> the bench </w:t>
      </w:r>
      <w:r w:rsidR="00895E7F" w:rsidRPr="002457FD">
        <w:rPr>
          <w:sz w:val="28"/>
          <w:szCs w:val="28"/>
        </w:rPr>
        <w:t xml:space="preserve">after building up their legal careers, </w:t>
      </w:r>
      <w:r w:rsidRPr="002457FD">
        <w:rPr>
          <w:sz w:val="28"/>
          <w:szCs w:val="28"/>
        </w:rPr>
        <w:t>at a later age which</w:t>
      </w:r>
      <w:r w:rsidR="00895E7F" w:rsidRPr="002457FD">
        <w:rPr>
          <w:sz w:val="28"/>
          <w:szCs w:val="28"/>
        </w:rPr>
        <w:t xml:space="preserve"> </w:t>
      </w:r>
      <w:r w:rsidR="008F0FED" w:rsidRPr="002457FD">
        <w:rPr>
          <w:sz w:val="28"/>
          <w:szCs w:val="28"/>
        </w:rPr>
        <w:t xml:space="preserve">still </w:t>
      </w:r>
      <w:r w:rsidRPr="002457FD">
        <w:rPr>
          <w:sz w:val="28"/>
          <w:szCs w:val="28"/>
        </w:rPr>
        <w:t xml:space="preserve">allows for a reasonable period of service </w:t>
      </w:r>
      <w:r w:rsidR="002457FD">
        <w:rPr>
          <w:sz w:val="28"/>
          <w:szCs w:val="28"/>
        </w:rPr>
        <w:t xml:space="preserve">before retirement </w:t>
      </w:r>
      <w:r w:rsidR="008F0FED" w:rsidRPr="002457FD">
        <w:rPr>
          <w:sz w:val="28"/>
          <w:szCs w:val="28"/>
        </w:rPr>
        <w:t>(which is required of all applicants for appointment, as well as to be expected by most if they are to put themselves through the rigors of the appointments process</w:t>
      </w:r>
      <w:r w:rsidR="000B66C7" w:rsidRPr="002457FD">
        <w:rPr>
          <w:sz w:val="28"/>
          <w:szCs w:val="28"/>
        </w:rPr>
        <w:t>)</w:t>
      </w:r>
      <w:r w:rsidR="008F0FED" w:rsidRPr="002457FD">
        <w:rPr>
          <w:sz w:val="28"/>
          <w:szCs w:val="28"/>
        </w:rPr>
        <w:t>.</w:t>
      </w:r>
    </w:p>
    <w:p w14:paraId="5A505D42" w14:textId="77777777" w:rsidR="00895E7F" w:rsidRPr="00895E7F" w:rsidRDefault="00895E7F" w:rsidP="00895E7F">
      <w:pPr>
        <w:pStyle w:val="ListParagraph"/>
        <w:jc w:val="both"/>
        <w:rPr>
          <w:sz w:val="28"/>
          <w:szCs w:val="28"/>
        </w:rPr>
      </w:pPr>
    </w:p>
    <w:p w14:paraId="03942AD0" w14:textId="5097115E" w:rsidR="00895E7F" w:rsidRDefault="002457FD" w:rsidP="00895E7F">
      <w:pPr>
        <w:pStyle w:val="ListParagraph"/>
        <w:numPr>
          <w:ilvl w:val="0"/>
          <w:numId w:val="1"/>
        </w:numPr>
        <w:jc w:val="both"/>
        <w:rPr>
          <w:sz w:val="28"/>
          <w:szCs w:val="28"/>
        </w:rPr>
      </w:pPr>
      <w:r>
        <w:rPr>
          <w:sz w:val="28"/>
          <w:szCs w:val="28"/>
        </w:rPr>
        <w:t>In addition, o</w:t>
      </w:r>
      <w:r w:rsidR="008F0FED" w:rsidRPr="00895E7F">
        <w:rPr>
          <w:sz w:val="28"/>
          <w:szCs w:val="28"/>
        </w:rPr>
        <w:t xml:space="preserve">thers who are suitable for </w:t>
      </w:r>
      <w:r w:rsidR="00A4030F" w:rsidRPr="00895E7F">
        <w:rPr>
          <w:sz w:val="28"/>
          <w:szCs w:val="28"/>
        </w:rPr>
        <w:t xml:space="preserve">full-time </w:t>
      </w:r>
      <w:r w:rsidR="008F0FED" w:rsidRPr="00895E7F">
        <w:rPr>
          <w:sz w:val="28"/>
          <w:szCs w:val="28"/>
        </w:rPr>
        <w:t xml:space="preserve">appointment but would not be able or willing to apply </w:t>
      </w:r>
      <w:r w:rsidR="00A4030F" w:rsidRPr="00895E7F">
        <w:rPr>
          <w:sz w:val="28"/>
          <w:szCs w:val="28"/>
        </w:rPr>
        <w:t>because a reasonable period of service would not be available to them by reason of the MRA</w:t>
      </w:r>
      <w:r>
        <w:rPr>
          <w:sz w:val="28"/>
          <w:szCs w:val="28"/>
        </w:rPr>
        <w:t>,</w:t>
      </w:r>
      <w:r w:rsidR="00A4030F" w:rsidRPr="00895E7F">
        <w:rPr>
          <w:sz w:val="28"/>
          <w:szCs w:val="28"/>
        </w:rPr>
        <w:t xml:space="preserve"> are also currently cut out of consideration</w:t>
      </w:r>
      <w:r w:rsidR="00895E7F">
        <w:rPr>
          <w:sz w:val="28"/>
          <w:szCs w:val="28"/>
        </w:rPr>
        <w:t xml:space="preserve"> -</w:t>
      </w:r>
      <w:r w:rsidR="00A4030F" w:rsidRPr="00895E7F">
        <w:rPr>
          <w:sz w:val="28"/>
          <w:szCs w:val="28"/>
        </w:rPr>
        <w:t xml:space="preserve"> </w:t>
      </w:r>
      <w:r w:rsidR="00895E7F">
        <w:rPr>
          <w:sz w:val="28"/>
          <w:szCs w:val="28"/>
        </w:rPr>
        <w:t>notwithstanding</w:t>
      </w:r>
      <w:r w:rsidR="00A4030F" w:rsidRPr="00895E7F">
        <w:rPr>
          <w:sz w:val="28"/>
          <w:szCs w:val="28"/>
        </w:rPr>
        <w:t xml:space="preserve"> the value of the contribution they could make</w:t>
      </w:r>
      <w:r w:rsidR="00895E7F">
        <w:rPr>
          <w:sz w:val="28"/>
          <w:szCs w:val="28"/>
        </w:rPr>
        <w:t xml:space="preserve"> -</w:t>
      </w:r>
      <w:r w:rsidR="00A4030F" w:rsidRPr="00895E7F">
        <w:rPr>
          <w:sz w:val="28"/>
          <w:szCs w:val="28"/>
        </w:rPr>
        <w:t xml:space="preserve"> by what may be thought to be the current relatively low MRA dating from a time when life expectancy was lower and age viewed differently.</w:t>
      </w:r>
    </w:p>
    <w:p w14:paraId="663B295A" w14:textId="77777777" w:rsidR="00895E7F" w:rsidRPr="00895E7F" w:rsidRDefault="00895E7F" w:rsidP="00895E7F">
      <w:pPr>
        <w:pStyle w:val="ListParagraph"/>
        <w:rPr>
          <w:sz w:val="28"/>
          <w:szCs w:val="28"/>
        </w:rPr>
      </w:pPr>
    </w:p>
    <w:p w14:paraId="2DD70F55" w14:textId="53A6A0E6" w:rsidR="00895E7F" w:rsidRDefault="00A4030F" w:rsidP="00895E7F">
      <w:pPr>
        <w:pStyle w:val="ListParagraph"/>
        <w:numPr>
          <w:ilvl w:val="0"/>
          <w:numId w:val="1"/>
        </w:numPr>
        <w:jc w:val="both"/>
        <w:rPr>
          <w:sz w:val="28"/>
          <w:szCs w:val="28"/>
        </w:rPr>
      </w:pPr>
      <w:r w:rsidRPr="00895E7F">
        <w:rPr>
          <w:sz w:val="28"/>
          <w:szCs w:val="28"/>
        </w:rPr>
        <w:t>Overall, raising the MRA to 75 appears appropriate. Alternatively,</w:t>
      </w:r>
      <w:r w:rsidR="002457FD">
        <w:rPr>
          <w:sz w:val="28"/>
          <w:szCs w:val="28"/>
        </w:rPr>
        <w:t xml:space="preserve"> we consider</w:t>
      </w:r>
      <w:r w:rsidRPr="00895E7F">
        <w:rPr>
          <w:sz w:val="28"/>
          <w:szCs w:val="28"/>
        </w:rPr>
        <w:t xml:space="preserve"> it should be raised to 72. </w:t>
      </w:r>
    </w:p>
    <w:p w14:paraId="2E73ED9F" w14:textId="77777777" w:rsidR="00895E7F" w:rsidRPr="00895E7F" w:rsidRDefault="00895E7F" w:rsidP="00895E7F">
      <w:pPr>
        <w:pStyle w:val="ListParagraph"/>
        <w:rPr>
          <w:sz w:val="28"/>
          <w:szCs w:val="28"/>
        </w:rPr>
      </w:pPr>
    </w:p>
    <w:p w14:paraId="518B8957" w14:textId="3A776B2D" w:rsidR="00455A52" w:rsidRDefault="00895E7F" w:rsidP="00895E7F">
      <w:pPr>
        <w:pStyle w:val="ListParagraph"/>
        <w:numPr>
          <w:ilvl w:val="0"/>
          <w:numId w:val="1"/>
        </w:numPr>
        <w:jc w:val="both"/>
        <w:rPr>
          <w:sz w:val="28"/>
          <w:szCs w:val="28"/>
        </w:rPr>
      </w:pPr>
      <w:r>
        <w:rPr>
          <w:sz w:val="28"/>
          <w:szCs w:val="28"/>
        </w:rPr>
        <w:t>T</w:t>
      </w:r>
      <w:r w:rsidR="00A4030F" w:rsidRPr="00895E7F">
        <w:rPr>
          <w:sz w:val="28"/>
          <w:szCs w:val="28"/>
        </w:rPr>
        <w:t xml:space="preserve">he </w:t>
      </w:r>
      <w:r w:rsidR="000B66C7">
        <w:rPr>
          <w:sz w:val="28"/>
          <w:szCs w:val="28"/>
        </w:rPr>
        <w:t xml:space="preserve">MRA </w:t>
      </w:r>
      <w:r w:rsidR="00A4030F" w:rsidRPr="00895E7F">
        <w:rPr>
          <w:sz w:val="28"/>
          <w:szCs w:val="28"/>
        </w:rPr>
        <w:t>should be raised, if it is to be, throughout the courts judiciary generally if at all. To raise it just for the magistracy, to allow for extension of appointments past the present MRA, based on an acute need for magistrates as compared with other judges, would be an unprincipled expediency as compared with a principle</w:t>
      </w:r>
      <w:r w:rsidRPr="00895E7F">
        <w:rPr>
          <w:sz w:val="28"/>
          <w:szCs w:val="28"/>
        </w:rPr>
        <w:t>d extension of the MRA for the judiciary as a whole.</w:t>
      </w:r>
    </w:p>
    <w:p w14:paraId="687BCD3D" w14:textId="77777777" w:rsidR="00895E7F" w:rsidRPr="00895E7F" w:rsidRDefault="00895E7F" w:rsidP="00895E7F">
      <w:pPr>
        <w:pStyle w:val="ListParagraph"/>
        <w:rPr>
          <w:sz w:val="28"/>
          <w:szCs w:val="28"/>
        </w:rPr>
      </w:pPr>
    </w:p>
    <w:p w14:paraId="061B82F6" w14:textId="77777777" w:rsidR="00895E7F" w:rsidRPr="00895E7F" w:rsidRDefault="00895E7F" w:rsidP="00895E7F">
      <w:pPr>
        <w:pStyle w:val="ListParagraph"/>
        <w:jc w:val="both"/>
        <w:rPr>
          <w:sz w:val="28"/>
          <w:szCs w:val="28"/>
        </w:rPr>
      </w:pPr>
    </w:p>
    <w:p w14:paraId="3EDC36C6" w14:textId="0467F2E4" w:rsidR="00895E7F" w:rsidRDefault="00895E7F" w:rsidP="00895E7F">
      <w:pPr>
        <w:pStyle w:val="ListParagraph"/>
        <w:numPr>
          <w:ilvl w:val="0"/>
          <w:numId w:val="1"/>
        </w:numPr>
        <w:jc w:val="both"/>
        <w:rPr>
          <w:sz w:val="28"/>
          <w:szCs w:val="28"/>
        </w:rPr>
      </w:pPr>
      <w:r w:rsidRPr="00895E7F">
        <w:rPr>
          <w:sz w:val="28"/>
          <w:szCs w:val="28"/>
        </w:rPr>
        <w:lastRenderedPageBreak/>
        <w:t>In response to some of the specific questions raised in the consultation paper</w:t>
      </w:r>
      <w:r w:rsidR="00347788">
        <w:rPr>
          <w:sz w:val="28"/>
          <w:szCs w:val="28"/>
        </w:rPr>
        <w:t xml:space="preserve"> (</w:t>
      </w:r>
      <w:r w:rsidR="0076661C">
        <w:rPr>
          <w:sz w:val="28"/>
          <w:szCs w:val="28"/>
        </w:rPr>
        <w:t>which relate to those</w:t>
      </w:r>
      <w:r w:rsidR="00347788">
        <w:rPr>
          <w:sz w:val="28"/>
          <w:szCs w:val="28"/>
        </w:rPr>
        <w:t xml:space="preserve"> concerned with judges)</w:t>
      </w:r>
      <w:r w:rsidRPr="00895E7F">
        <w:rPr>
          <w:sz w:val="28"/>
          <w:szCs w:val="28"/>
        </w:rPr>
        <w:t>:</w:t>
      </w:r>
    </w:p>
    <w:p w14:paraId="016156C7" w14:textId="77777777" w:rsidR="00895E7F" w:rsidRDefault="00895E7F" w:rsidP="00895E7F">
      <w:pPr>
        <w:pStyle w:val="ListParagraph"/>
        <w:jc w:val="both"/>
        <w:rPr>
          <w:sz w:val="28"/>
          <w:szCs w:val="28"/>
        </w:rPr>
      </w:pPr>
    </w:p>
    <w:p w14:paraId="30272CB6" w14:textId="06A162E7" w:rsidR="008B6E6B" w:rsidRDefault="00895E7F" w:rsidP="00895E7F">
      <w:pPr>
        <w:pStyle w:val="ListParagraph"/>
        <w:jc w:val="both"/>
        <w:rPr>
          <w:sz w:val="28"/>
          <w:szCs w:val="28"/>
        </w:rPr>
      </w:pPr>
      <w:r w:rsidRPr="00895E7F">
        <w:rPr>
          <w:sz w:val="28"/>
          <w:szCs w:val="28"/>
        </w:rPr>
        <w:t>Q1A and 1B</w:t>
      </w:r>
      <w:r w:rsidR="008B6E6B">
        <w:rPr>
          <w:sz w:val="28"/>
          <w:szCs w:val="28"/>
        </w:rPr>
        <w:t>, 2A and 2B</w:t>
      </w:r>
      <w:r w:rsidRPr="00895E7F">
        <w:rPr>
          <w:sz w:val="28"/>
          <w:szCs w:val="28"/>
        </w:rPr>
        <w:t xml:space="preserve"> – A proportion of </w:t>
      </w:r>
      <w:r w:rsidR="008B6E6B">
        <w:rPr>
          <w:sz w:val="28"/>
          <w:szCs w:val="28"/>
        </w:rPr>
        <w:t>judges</w:t>
      </w:r>
      <w:r w:rsidRPr="00895E7F">
        <w:rPr>
          <w:sz w:val="28"/>
          <w:szCs w:val="28"/>
        </w:rPr>
        <w:t xml:space="preserve"> would </w:t>
      </w:r>
      <w:r>
        <w:rPr>
          <w:sz w:val="28"/>
          <w:szCs w:val="28"/>
        </w:rPr>
        <w:t xml:space="preserve">be likely to </w:t>
      </w:r>
      <w:r w:rsidRPr="00895E7F">
        <w:rPr>
          <w:sz w:val="28"/>
          <w:szCs w:val="28"/>
        </w:rPr>
        <w:t xml:space="preserve">choose to stay in office if the MRA was raised to 72, and </w:t>
      </w:r>
      <w:r w:rsidR="00AF341B">
        <w:rPr>
          <w:sz w:val="28"/>
          <w:szCs w:val="28"/>
        </w:rPr>
        <w:t>more</w:t>
      </w:r>
      <w:r w:rsidRPr="00895E7F">
        <w:rPr>
          <w:sz w:val="28"/>
          <w:szCs w:val="28"/>
        </w:rPr>
        <w:t xml:space="preserve"> too if it was raised to 75. </w:t>
      </w:r>
      <w:r>
        <w:rPr>
          <w:sz w:val="28"/>
          <w:szCs w:val="28"/>
        </w:rPr>
        <w:t xml:space="preserve">Paragraphs 8 and 9 above are highlighted, in addition to which those who </w:t>
      </w:r>
      <w:r w:rsidR="000B66C7">
        <w:rPr>
          <w:sz w:val="28"/>
          <w:szCs w:val="28"/>
        </w:rPr>
        <w:t>are appointed</w:t>
      </w:r>
      <w:r>
        <w:rPr>
          <w:sz w:val="28"/>
          <w:szCs w:val="28"/>
        </w:rPr>
        <w:t xml:space="preserve"> </w:t>
      </w:r>
      <w:r w:rsidR="000B66C7">
        <w:rPr>
          <w:sz w:val="28"/>
          <w:szCs w:val="28"/>
        </w:rPr>
        <w:t xml:space="preserve">in their ‘50s </w:t>
      </w:r>
      <w:r w:rsidR="002457FD">
        <w:rPr>
          <w:sz w:val="28"/>
          <w:szCs w:val="28"/>
        </w:rPr>
        <w:t xml:space="preserve">or 60s </w:t>
      </w:r>
      <w:r w:rsidR="000B66C7">
        <w:rPr>
          <w:sz w:val="28"/>
          <w:szCs w:val="28"/>
        </w:rPr>
        <w:t xml:space="preserve">who are good at their job, and therefore enjoy it, may well wish to carry on doing it to 72 or 75 </w:t>
      </w:r>
      <w:r w:rsidR="002457FD">
        <w:rPr>
          <w:sz w:val="28"/>
          <w:szCs w:val="28"/>
        </w:rPr>
        <w:t>i</w:t>
      </w:r>
      <w:r w:rsidR="000B66C7">
        <w:rPr>
          <w:sz w:val="28"/>
          <w:szCs w:val="28"/>
        </w:rPr>
        <w:t xml:space="preserve">f they wish to do it still at 70. Those who are not in that category are likely to retire still at a lower age. </w:t>
      </w:r>
      <w:r w:rsidR="008B6E6B">
        <w:rPr>
          <w:sz w:val="28"/>
          <w:szCs w:val="28"/>
        </w:rPr>
        <w:t>Those who retire before the age of 70 seem likely still to do so.</w:t>
      </w:r>
    </w:p>
    <w:p w14:paraId="7B405BD0" w14:textId="77777777" w:rsidR="008B6E6B" w:rsidRDefault="008B6E6B" w:rsidP="00895E7F">
      <w:pPr>
        <w:pStyle w:val="ListParagraph"/>
        <w:jc w:val="both"/>
        <w:rPr>
          <w:sz w:val="28"/>
          <w:szCs w:val="28"/>
        </w:rPr>
      </w:pPr>
    </w:p>
    <w:p w14:paraId="33141361" w14:textId="77777777" w:rsidR="006B4E6B" w:rsidRDefault="008B6E6B" w:rsidP="00895E7F">
      <w:pPr>
        <w:pStyle w:val="ListParagraph"/>
        <w:jc w:val="both"/>
        <w:rPr>
          <w:sz w:val="28"/>
          <w:szCs w:val="28"/>
        </w:rPr>
      </w:pPr>
      <w:r>
        <w:rPr>
          <w:sz w:val="28"/>
          <w:szCs w:val="28"/>
        </w:rPr>
        <w:t>Q3A and 3B – see paras 5 to 9 above</w:t>
      </w:r>
      <w:r w:rsidR="00AD7D6E">
        <w:rPr>
          <w:sz w:val="28"/>
          <w:szCs w:val="28"/>
        </w:rPr>
        <w:t>.</w:t>
      </w:r>
    </w:p>
    <w:p w14:paraId="1C1D4E5B" w14:textId="77777777" w:rsidR="006B4E6B" w:rsidRDefault="006B4E6B" w:rsidP="00895E7F">
      <w:pPr>
        <w:pStyle w:val="ListParagraph"/>
        <w:jc w:val="both"/>
        <w:rPr>
          <w:sz w:val="28"/>
          <w:szCs w:val="28"/>
        </w:rPr>
      </w:pPr>
    </w:p>
    <w:p w14:paraId="1A076F9C" w14:textId="6B6F98E1" w:rsidR="006B4E6B" w:rsidRDefault="006B4E6B" w:rsidP="00895E7F">
      <w:pPr>
        <w:pStyle w:val="ListParagraph"/>
        <w:jc w:val="both"/>
        <w:rPr>
          <w:sz w:val="28"/>
          <w:szCs w:val="28"/>
        </w:rPr>
      </w:pPr>
      <w:r>
        <w:rPr>
          <w:sz w:val="28"/>
          <w:szCs w:val="28"/>
        </w:rPr>
        <w:t>Q4A and 4B – there would seem no reason why the points made above should not apply equally to JOHs with specific protected characteristics, a proportion of whom who would be likely also to stay in office beyond the age of 70 if able to do so.</w:t>
      </w:r>
    </w:p>
    <w:p w14:paraId="125BD28C" w14:textId="77777777" w:rsidR="006B4E6B" w:rsidRDefault="006B4E6B" w:rsidP="00895E7F">
      <w:pPr>
        <w:pStyle w:val="ListParagraph"/>
        <w:jc w:val="both"/>
        <w:rPr>
          <w:sz w:val="28"/>
          <w:szCs w:val="28"/>
        </w:rPr>
      </w:pPr>
    </w:p>
    <w:p w14:paraId="5CDF4003" w14:textId="3E64C2DC" w:rsidR="00895E7F" w:rsidRDefault="006B4E6B" w:rsidP="00895E7F">
      <w:pPr>
        <w:pStyle w:val="ListParagraph"/>
        <w:jc w:val="both"/>
        <w:rPr>
          <w:sz w:val="28"/>
          <w:szCs w:val="28"/>
        </w:rPr>
      </w:pPr>
      <w:r>
        <w:rPr>
          <w:sz w:val="28"/>
          <w:szCs w:val="28"/>
        </w:rPr>
        <w:t xml:space="preserve">Q5A and 5B – Increasing the MRA would seem likely to attract more people to apply to be judges as it simply enables them to </w:t>
      </w:r>
      <w:r w:rsidR="002457FD">
        <w:rPr>
          <w:sz w:val="28"/>
          <w:szCs w:val="28"/>
        </w:rPr>
        <w:t>stay in office longer</w:t>
      </w:r>
      <w:r>
        <w:rPr>
          <w:sz w:val="28"/>
          <w:szCs w:val="28"/>
        </w:rPr>
        <w:t xml:space="preserve"> if they wish to, and so gives them </w:t>
      </w:r>
      <w:r w:rsidR="002457FD">
        <w:rPr>
          <w:sz w:val="28"/>
          <w:szCs w:val="28"/>
        </w:rPr>
        <w:t xml:space="preserve">an assurance of </w:t>
      </w:r>
      <w:r>
        <w:rPr>
          <w:sz w:val="28"/>
          <w:szCs w:val="28"/>
        </w:rPr>
        <w:t xml:space="preserve">greater flexibility if they are considering joining the judiciary. Those applying for salaried positions would also have the chance to extend their working life in the same way </w:t>
      </w:r>
      <w:r w:rsidR="002457FD">
        <w:rPr>
          <w:sz w:val="28"/>
          <w:szCs w:val="28"/>
        </w:rPr>
        <w:t>as</w:t>
      </w:r>
      <w:r>
        <w:rPr>
          <w:sz w:val="28"/>
          <w:szCs w:val="28"/>
        </w:rPr>
        <w:t xml:space="preserve"> in professional practice where there </w:t>
      </w:r>
      <w:proofErr w:type="gramStart"/>
      <w:r>
        <w:rPr>
          <w:sz w:val="28"/>
          <w:szCs w:val="28"/>
        </w:rPr>
        <w:t>are</w:t>
      </w:r>
      <w:proofErr w:type="gramEnd"/>
      <w:r>
        <w:rPr>
          <w:sz w:val="28"/>
          <w:szCs w:val="28"/>
        </w:rPr>
        <w:t xml:space="preserve"> no universal cut off </w:t>
      </w:r>
      <w:r w:rsidR="002457FD">
        <w:rPr>
          <w:sz w:val="28"/>
          <w:szCs w:val="28"/>
        </w:rPr>
        <w:t xml:space="preserve">age </w:t>
      </w:r>
      <w:r>
        <w:rPr>
          <w:sz w:val="28"/>
          <w:szCs w:val="28"/>
        </w:rPr>
        <w:t>points.</w:t>
      </w:r>
    </w:p>
    <w:p w14:paraId="51A10EFC" w14:textId="77777777" w:rsidR="006B4E6B" w:rsidRDefault="006B4E6B" w:rsidP="00895E7F">
      <w:pPr>
        <w:pStyle w:val="ListParagraph"/>
        <w:jc w:val="both"/>
        <w:rPr>
          <w:sz w:val="28"/>
          <w:szCs w:val="28"/>
        </w:rPr>
      </w:pPr>
    </w:p>
    <w:p w14:paraId="4A21E599" w14:textId="0EDB24A9" w:rsidR="006B4E6B" w:rsidRDefault="006B4E6B" w:rsidP="00895E7F">
      <w:pPr>
        <w:pStyle w:val="ListParagraph"/>
        <w:jc w:val="both"/>
        <w:rPr>
          <w:sz w:val="28"/>
          <w:szCs w:val="28"/>
        </w:rPr>
      </w:pPr>
      <w:r>
        <w:rPr>
          <w:sz w:val="28"/>
          <w:szCs w:val="28"/>
        </w:rPr>
        <w:t>Q6A and 6B – see in particular paragraphs 8 and 9 above.</w:t>
      </w:r>
    </w:p>
    <w:p w14:paraId="081A3087" w14:textId="6FC4694E" w:rsidR="006B4E6B" w:rsidRDefault="006B4E6B" w:rsidP="00895E7F">
      <w:pPr>
        <w:pStyle w:val="ListParagraph"/>
        <w:jc w:val="both"/>
        <w:rPr>
          <w:sz w:val="28"/>
          <w:szCs w:val="28"/>
        </w:rPr>
      </w:pPr>
    </w:p>
    <w:p w14:paraId="0D0BC393" w14:textId="75F3301F" w:rsidR="001A0206" w:rsidRDefault="006B4E6B" w:rsidP="00895E7F">
      <w:pPr>
        <w:pStyle w:val="ListParagraph"/>
        <w:jc w:val="both"/>
        <w:rPr>
          <w:sz w:val="28"/>
          <w:szCs w:val="28"/>
        </w:rPr>
      </w:pPr>
      <w:r>
        <w:rPr>
          <w:sz w:val="28"/>
          <w:szCs w:val="28"/>
        </w:rPr>
        <w:t xml:space="preserve">Q7A and 7B – No. Some of the best and most experienced legal minds, with the </w:t>
      </w:r>
      <w:r w:rsidR="002457FD">
        <w:rPr>
          <w:sz w:val="28"/>
          <w:szCs w:val="28"/>
        </w:rPr>
        <w:t xml:space="preserve">best </w:t>
      </w:r>
      <w:r>
        <w:rPr>
          <w:sz w:val="28"/>
          <w:szCs w:val="28"/>
        </w:rPr>
        <w:t>honed judicial skills, are cut off at the age of 70 with a great loss to the judic</w:t>
      </w:r>
      <w:r w:rsidR="001A0206">
        <w:rPr>
          <w:sz w:val="28"/>
          <w:szCs w:val="28"/>
        </w:rPr>
        <w:t>i</w:t>
      </w:r>
      <w:r>
        <w:rPr>
          <w:sz w:val="28"/>
          <w:szCs w:val="28"/>
        </w:rPr>
        <w:t xml:space="preserve">ary. </w:t>
      </w:r>
      <w:r w:rsidR="001A0206">
        <w:rPr>
          <w:sz w:val="28"/>
          <w:szCs w:val="28"/>
        </w:rPr>
        <w:t xml:space="preserve">There is also balance in that some judges are being appointed now at a younger age than before, as well as, if the MRA is raised to 75 (or 72) some older judges being on the bench than previously. </w:t>
      </w:r>
      <w:r>
        <w:rPr>
          <w:sz w:val="28"/>
          <w:szCs w:val="28"/>
        </w:rPr>
        <w:t xml:space="preserve">At whatever age people are sitting </w:t>
      </w:r>
      <w:r w:rsidR="001A0206">
        <w:rPr>
          <w:sz w:val="28"/>
          <w:szCs w:val="28"/>
        </w:rPr>
        <w:t xml:space="preserve">they are expected to perform satisfactorily as a pre-condition of continuing to do so, but most people are capable of recognising if they are not able to do so. </w:t>
      </w:r>
    </w:p>
    <w:p w14:paraId="0AE87BE7" w14:textId="77777777" w:rsidR="001A0206" w:rsidRDefault="001A0206" w:rsidP="00895E7F">
      <w:pPr>
        <w:pStyle w:val="ListParagraph"/>
        <w:jc w:val="both"/>
        <w:rPr>
          <w:sz w:val="28"/>
          <w:szCs w:val="28"/>
        </w:rPr>
      </w:pPr>
    </w:p>
    <w:p w14:paraId="3855EC8C" w14:textId="77777777" w:rsidR="001A0206" w:rsidRDefault="001A0206" w:rsidP="00895E7F">
      <w:pPr>
        <w:pStyle w:val="ListParagraph"/>
        <w:jc w:val="both"/>
        <w:rPr>
          <w:sz w:val="28"/>
          <w:szCs w:val="28"/>
        </w:rPr>
      </w:pPr>
      <w:r>
        <w:rPr>
          <w:sz w:val="28"/>
          <w:szCs w:val="28"/>
        </w:rPr>
        <w:t xml:space="preserve">Q11 – yes: for the reasons set out above. </w:t>
      </w:r>
    </w:p>
    <w:p w14:paraId="3A70D6A4" w14:textId="77777777" w:rsidR="001A0206" w:rsidRDefault="001A0206" w:rsidP="00895E7F">
      <w:pPr>
        <w:pStyle w:val="ListParagraph"/>
        <w:jc w:val="both"/>
        <w:rPr>
          <w:sz w:val="28"/>
          <w:szCs w:val="28"/>
        </w:rPr>
      </w:pPr>
    </w:p>
    <w:p w14:paraId="5D08D35D" w14:textId="38C22069" w:rsidR="006B4E6B" w:rsidRDefault="001A0206" w:rsidP="00895E7F">
      <w:pPr>
        <w:pStyle w:val="ListParagraph"/>
        <w:jc w:val="both"/>
        <w:rPr>
          <w:sz w:val="28"/>
          <w:szCs w:val="28"/>
        </w:rPr>
      </w:pPr>
      <w:r>
        <w:rPr>
          <w:sz w:val="28"/>
          <w:szCs w:val="28"/>
        </w:rPr>
        <w:t>Q12 - 75 (or otherwise, 72), for the reasons set out above</w:t>
      </w:r>
    </w:p>
    <w:p w14:paraId="0A621D56" w14:textId="710C20C4" w:rsidR="001A0206" w:rsidRDefault="001A0206" w:rsidP="00895E7F">
      <w:pPr>
        <w:pStyle w:val="ListParagraph"/>
        <w:jc w:val="both"/>
        <w:rPr>
          <w:sz w:val="28"/>
          <w:szCs w:val="28"/>
        </w:rPr>
      </w:pPr>
    </w:p>
    <w:p w14:paraId="7951E5B4" w14:textId="4AEC68B8" w:rsidR="001A0206" w:rsidRDefault="001A0206" w:rsidP="00895E7F">
      <w:pPr>
        <w:pStyle w:val="ListParagraph"/>
        <w:jc w:val="both"/>
        <w:rPr>
          <w:sz w:val="28"/>
          <w:szCs w:val="28"/>
        </w:rPr>
      </w:pPr>
      <w:r>
        <w:rPr>
          <w:sz w:val="28"/>
          <w:szCs w:val="28"/>
        </w:rPr>
        <w:t>Q13 – No: there should be a principled approach, for the reasons set out above.</w:t>
      </w:r>
    </w:p>
    <w:p w14:paraId="6A7A318D" w14:textId="6CCBECA0" w:rsidR="001A0206" w:rsidRDefault="001A0206" w:rsidP="00895E7F">
      <w:pPr>
        <w:pStyle w:val="ListParagraph"/>
        <w:jc w:val="both"/>
        <w:rPr>
          <w:sz w:val="28"/>
          <w:szCs w:val="28"/>
        </w:rPr>
      </w:pPr>
    </w:p>
    <w:p w14:paraId="6641A05F" w14:textId="2C6165BF" w:rsidR="001A0206" w:rsidRDefault="001A0206" w:rsidP="00195FEB">
      <w:pPr>
        <w:ind w:left="709"/>
        <w:jc w:val="both"/>
        <w:rPr>
          <w:sz w:val="28"/>
          <w:szCs w:val="28"/>
        </w:rPr>
      </w:pPr>
      <w:r>
        <w:rPr>
          <w:sz w:val="28"/>
          <w:szCs w:val="28"/>
        </w:rPr>
        <w:t>Q14 – No (with the one exception of being able to finish off any reserved matters): there should be a principled approach, as set out above.</w:t>
      </w:r>
    </w:p>
    <w:p w14:paraId="2F89103A" w14:textId="0EE6AF64" w:rsidR="001A0206" w:rsidRDefault="001A0206" w:rsidP="001A0206">
      <w:pPr>
        <w:jc w:val="both"/>
        <w:rPr>
          <w:sz w:val="28"/>
          <w:szCs w:val="28"/>
        </w:rPr>
      </w:pPr>
    </w:p>
    <w:p w14:paraId="42E3578F" w14:textId="77777777" w:rsidR="008F3AD2" w:rsidRDefault="008F3AD2" w:rsidP="001A0206">
      <w:pPr>
        <w:jc w:val="both"/>
        <w:rPr>
          <w:sz w:val="28"/>
          <w:szCs w:val="28"/>
        </w:rPr>
      </w:pPr>
    </w:p>
    <w:p w14:paraId="4088A703" w14:textId="3906BAFD" w:rsidR="001A0206" w:rsidRDefault="001A25FB" w:rsidP="001A0206">
      <w:pPr>
        <w:jc w:val="both"/>
        <w:rPr>
          <w:sz w:val="28"/>
          <w:szCs w:val="28"/>
        </w:rPr>
      </w:pPr>
      <w:r>
        <w:rPr>
          <w:sz w:val="28"/>
          <w:szCs w:val="28"/>
        </w:rPr>
        <w:t>STEVEN GASZTOWICZ QC (Chairman)</w:t>
      </w:r>
    </w:p>
    <w:p w14:paraId="52404FD4" w14:textId="573894AA" w:rsidR="008F3AD2" w:rsidRDefault="008F3AD2" w:rsidP="001A0206">
      <w:pPr>
        <w:jc w:val="both"/>
        <w:rPr>
          <w:sz w:val="28"/>
          <w:szCs w:val="28"/>
        </w:rPr>
      </w:pPr>
      <w:r>
        <w:rPr>
          <w:sz w:val="28"/>
          <w:szCs w:val="28"/>
        </w:rPr>
        <w:t>Recorder, crime &amp; civil, and Deputy High Court Judge</w:t>
      </w:r>
      <w:r w:rsidR="002A6886">
        <w:rPr>
          <w:sz w:val="28"/>
          <w:szCs w:val="28"/>
        </w:rPr>
        <w:t xml:space="preserve"> QBD and </w:t>
      </w:r>
      <w:proofErr w:type="spellStart"/>
      <w:r w:rsidR="002A6886">
        <w:rPr>
          <w:sz w:val="28"/>
          <w:szCs w:val="28"/>
        </w:rPr>
        <w:t>ChD</w:t>
      </w:r>
      <w:proofErr w:type="spellEnd"/>
      <w:r>
        <w:rPr>
          <w:sz w:val="28"/>
          <w:szCs w:val="28"/>
        </w:rPr>
        <w:t xml:space="preserve"> </w:t>
      </w:r>
    </w:p>
    <w:p w14:paraId="3203B6C6" w14:textId="35369ECC" w:rsidR="001A25FB" w:rsidRDefault="001A25FB" w:rsidP="001A0206">
      <w:pPr>
        <w:jc w:val="both"/>
        <w:rPr>
          <w:sz w:val="28"/>
          <w:szCs w:val="28"/>
        </w:rPr>
      </w:pPr>
      <w:r>
        <w:rPr>
          <w:sz w:val="28"/>
          <w:szCs w:val="28"/>
        </w:rPr>
        <w:t>PETER CAUSTON</w:t>
      </w:r>
    </w:p>
    <w:p w14:paraId="0B76D5EC" w14:textId="1AC3ED6B" w:rsidR="008F3AD2" w:rsidRDefault="008F3AD2" w:rsidP="001A0206">
      <w:pPr>
        <w:jc w:val="both"/>
        <w:rPr>
          <w:sz w:val="28"/>
          <w:szCs w:val="28"/>
        </w:rPr>
      </w:pPr>
      <w:r>
        <w:rPr>
          <w:sz w:val="28"/>
          <w:szCs w:val="28"/>
        </w:rPr>
        <w:t>Deputy District Judge, civil</w:t>
      </w:r>
    </w:p>
    <w:p w14:paraId="60524BAD" w14:textId="6977E65A" w:rsidR="001A25FB" w:rsidRDefault="001A25FB" w:rsidP="001A0206">
      <w:pPr>
        <w:jc w:val="both"/>
        <w:rPr>
          <w:sz w:val="28"/>
          <w:szCs w:val="28"/>
        </w:rPr>
      </w:pPr>
      <w:r>
        <w:rPr>
          <w:sz w:val="28"/>
          <w:szCs w:val="28"/>
        </w:rPr>
        <w:t>YVETTE GENN</w:t>
      </w:r>
    </w:p>
    <w:p w14:paraId="37CD0BA6" w14:textId="321DC652" w:rsidR="008F3AD2" w:rsidRDefault="008F3AD2" w:rsidP="001A0206">
      <w:pPr>
        <w:jc w:val="both"/>
        <w:rPr>
          <w:sz w:val="28"/>
          <w:szCs w:val="28"/>
        </w:rPr>
      </w:pPr>
      <w:r>
        <w:rPr>
          <w:sz w:val="28"/>
          <w:szCs w:val="28"/>
        </w:rPr>
        <w:t>Recorder, family, and Deputy District Judge, civil</w:t>
      </w:r>
    </w:p>
    <w:p w14:paraId="39BD66E8" w14:textId="3B4DF4DB" w:rsidR="001A25FB" w:rsidRDefault="001A25FB" w:rsidP="001A0206">
      <w:pPr>
        <w:jc w:val="both"/>
        <w:rPr>
          <w:sz w:val="28"/>
          <w:szCs w:val="28"/>
        </w:rPr>
      </w:pPr>
      <w:r>
        <w:rPr>
          <w:sz w:val="28"/>
          <w:szCs w:val="28"/>
        </w:rPr>
        <w:t>TIMOTHY JOHN</w:t>
      </w:r>
    </w:p>
    <w:p w14:paraId="38B750D2" w14:textId="6AF569E7" w:rsidR="008F3AD2" w:rsidRDefault="008F3AD2" w:rsidP="001A0206">
      <w:pPr>
        <w:jc w:val="both"/>
        <w:rPr>
          <w:sz w:val="28"/>
          <w:szCs w:val="28"/>
        </w:rPr>
      </w:pPr>
      <w:r>
        <w:rPr>
          <w:sz w:val="28"/>
          <w:szCs w:val="28"/>
        </w:rPr>
        <w:t>Deputy District Judge, crime</w:t>
      </w:r>
    </w:p>
    <w:p w14:paraId="09A52067" w14:textId="77777777" w:rsidR="008F3AD2" w:rsidRDefault="008F3AD2" w:rsidP="001A0206">
      <w:pPr>
        <w:jc w:val="both"/>
        <w:rPr>
          <w:sz w:val="28"/>
          <w:szCs w:val="28"/>
        </w:rPr>
      </w:pPr>
    </w:p>
    <w:p w14:paraId="4A4DC9F5" w14:textId="061C8353" w:rsidR="001A25FB" w:rsidRDefault="008F3AD2" w:rsidP="001A0206">
      <w:pPr>
        <w:jc w:val="both"/>
        <w:rPr>
          <w:sz w:val="28"/>
          <w:szCs w:val="28"/>
        </w:rPr>
      </w:pPr>
      <w:r>
        <w:rPr>
          <w:sz w:val="28"/>
          <w:szCs w:val="28"/>
        </w:rPr>
        <w:t xml:space="preserve">Committee of the </w:t>
      </w:r>
      <w:r w:rsidR="001A25FB">
        <w:rPr>
          <w:sz w:val="28"/>
          <w:szCs w:val="28"/>
        </w:rPr>
        <w:t>UK Association of Fee-Paid Judges</w:t>
      </w:r>
    </w:p>
    <w:p w14:paraId="109B2EDC" w14:textId="77777777" w:rsidR="001A0206" w:rsidRPr="001A0206" w:rsidRDefault="001A0206" w:rsidP="001A0206">
      <w:pPr>
        <w:jc w:val="both"/>
        <w:rPr>
          <w:sz w:val="28"/>
          <w:szCs w:val="28"/>
        </w:rPr>
      </w:pPr>
    </w:p>
    <w:sectPr w:rsidR="001A0206" w:rsidRPr="001A02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8677B"/>
    <w:multiLevelType w:val="hybridMultilevel"/>
    <w:tmpl w:val="32DED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A52"/>
    <w:rsid w:val="00076E10"/>
    <w:rsid w:val="000B66C7"/>
    <w:rsid w:val="000F16B0"/>
    <w:rsid w:val="00195FEB"/>
    <w:rsid w:val="001A0206"/>
    <w:rsid w:val="001A25FB"/>
    <w:rsid w:val="002457FD"/>
    <w:rsid w:val="002A6886"/>
    <w:rsid w:val="003162F4"/>
    <w:rsid w:val="00347788"/>
    <w:rsid w:val="00440B9D"/>
    <w:rsid w:val="00455A52"/>
    <w:rsid w:val="006B4E6B"/>
    <w:rsid w:val="0076661C"/>
    <w:rsid w:val="00895E7F"/>
    <w:rsid w:val="008B6E6B"/>
    <w:rsid w:val="008C6695"/>
    <w:rsid w:val="008F0FED"/>
    <w:rsid w:val="008F3AD2"/>
    <w:rsid w:val="009F657D"/>
    <w:rsid w:val="00A4030F"/>
    <w:rsid w:val="00A5754D"/>
    <w:rsid w:val="00AD7D6E"/>
    <w:rsid w:val="00AF3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741E"/>
  <w15:chartTrackingRefBased/>
  <w15:docId w15:val="{7660F9FE-AF2C-43B8-9260-DACF86EF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Gasztowicz</dc:creator>
  <cp:keywords/>
  <dc:description/>
  <cp:lastModifiedBy>Steven Gasztowicz</cp:lastModifiedBy>
  <cp:revision>2</cp:revision>
  <cp:lastPrinted>2020-10-09T10:58:00Z</cp:lastPrinted>
  <dcterms:created xsi:type="dcterms:W3CDTF">2020-10-15T17:04:00Z</dcterms:created>
  <dcterms:modified xsi:type="dcterms:W3CDTF">2020-10-15T17:04:00Z</dcterms:modified>
</cp:coreProperties>
</file>